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76A" w:rsidRPr="00844740" w:rsidRDefault="00F8576A" w:rsidP="0067514D">
      <w:pPr>
        <w:spacing w:before="12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844740">
        <w:rPr>
          <w:b/>
          <w:bCs/>
          <w:sz w:val="20"/>
          <w:szCs w:val="20"/>
        </w:rPr>
        <w:t>Nota</w:t>
      </w:r>
      <w:r w:rsidRPr="00844740">
        <w:rPr>
          <w:sz w:val="20"/>
          <w:szCs w:val="20"/>
        </w:rPr>
        <w:t>: Posibilidad de concertar entrevistas con Eduardo Anitua, Director Científico de BTI</w:t>
      </w:r>
    </w:p>
    <w:p w:rsidR="00D07A03" w:rsidRDefault="006D307B" w:rsidP="009D57BE">
      <w:pPr>
        <w:spacing w:before="240" w:after="240" w:line="360" w:lineRule="auto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Nota</w:t>
      </w:r>
      <w:r w:rsidR="00D07A03" w:rsidRPr="00053534">
        <w:rPr>
          <w:rFonts w:cs="Calibri"/>
          <w:b/>
          <w:u w:val="single"/>
        </w:rPr>
        <w:t xml:space="preserve"> de Prensa</w:t>
      </w:r>
    </w:p>
    <w:p w:rsidR="00E351BC" w:rsidRPr="009E2AEF" w:rsidRDefault="00A711A3" w:rsidP="009D57BE">
      <w:pPr>
        <w:spacing w:after="360"/>
        <w:jc w:val="center"/>
        <w:rPr>
          <w:rFonts w:eastAsia="Times New Roman"/>
          <w:b/>
          <w:sz w:val="34"/>
          <w:szCs w:val="34"/>
        </w:rPr>
      </w:pPr>
      <w:r w:rsidRPr="00A711A3">
        <w:rPr>
          <w:rFonts w:eastAsia="Times New Roman"/>
          <w:b/>
          <w:sz w:val="34"/>
          <w:szCs w:val="34"/>
        </w:rPr>
        <w:t>Eduardo Anitua, el investigador español más influyente del mundo en Odontología según el ranking de la Universidad de Stanford</w:t>
      </w:r>
    </w:p>
    <w:p w:rsidR="00AB28C8" w:rsidRPr="00A711A3" w:rsidRDefault="00A711A3" w:rsidP="00456B5F">
      <w:pPr>
        <w:pStyle w:val="Listamedia2-nfasis41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A711A3">
        <w:rPr>
          <w:b/>
          <w:sz w:val="24"/>
          <w:szCs w:val="24"/>
        </w:rPr>
        <w:t>Esta lista identifica al 2% de los investigadores más citados e influyentes a nivel mundial de acuerdo a su trayectoria científica</w:t>
      </w:r>
      <w:r w:rsidR="009B01CA" w:rsidRPr="00A711A3">
        <w:rPr>
          <w:b/>
          <w:sz w:val="24"/>
          <w:szCs w:val="24"/>
        </w:rPr>
        <w:t>.</w:t>
      </w:r>
    </w:p>
    <w:p w:rsidR="00DD2AAF" w:rsidRDefault="004E28F1" w:rsidP="004E28F1">
      <w:pPr>
        <w:pStyle w:val="Listamedia2-nfasis41"/>
        <w:tabs>
          <w:tab w:val="left" w:pos="4290"/>
        </w:tabs>
        <w:spacing w:before="120"/>
      </w:pPr>
      <w:r>
        <w:tab/>
      </w:r>
    </w:p>
    <w:p w:rsidR="00DF2E8C" w:rsidRDefault="004B742D" w:rsidP="004B742D">
      <w:pPr>
        <w:pStyle w:val="Listamedia2-nfasis41"/>
        <w:spacing w:after="0"/>
        <w:ind w:left="0"/>
        <w:jc w:val="both"/>
      </w:pPr>
      <w:r>
        <w:rPr>
          <w:b/>
        </w:rPr>
        <w:t>Vitoria</w:t>
      </w:r>
      <w:r w:rsidR="00D07A03" w:rsidRPr="008948E3">
        <w:rPr>
          <w:b/>
        </w:rPr>
        <w:t xml:space="preserve">, </w:t>
      </w:r>
      <w:r w:rsidR="00043909">
        <w:rPr>
          <w:b/>
        </w:rPr>
        <w:t>1</w:t>
      </w:r>
      <w:r w:rsidR="00A711A3">
        <w:rPr>
          <w:b/>
        </w:rPr>
        <w:t>0</w:t>
      </w:r>
      <w:r w:rsidR="00043909">
        <w:rPr>
          <w:b/>
        </w:rPr>
        <w:t xml:space="preserve"> de</w:t>
      </w:r>
      <w:r w:rsidR="00D07A03" w:rsidRPr="008948E3">
        <w:rPr>
          <w:b/>
        </w:rPr>
        <w:t xml:space="preserve"> </w:t>
      </w:r>
      <w:r w:rsidR="00A711A3">
        <w:rPr>
          <w:b/>
        </w:rPr>
        <w:t>marzo</w:t>
      </w:r>
      <w:r>
        <w:rPr>
          <w:b/>
        </w:rPr>
        <w:t xml:space="preserve"> </w:t>
      </w:r>
      <w:r w:rsidR="00D07A03" w:rsidRPr="008948E3">
        <w:rPr>
          <w:b/>
        </w:rPr>
        <w:t>de 20</w:t>
      </w:r>
      <w:r w:rsidR="00C863E4">
        <w:rPr>
          <w:b/>
        </w:rPr>
        <w:t>2</w:t>
      </w:r>
      <w:r w:rsidR="00A711A3">
        <w:rPr>
          <w:b/>
        </w:rPr>
        <w:t>1</w:t>
      </w:r>
      <w:r w:rsidR="00D07A03">
        <w:t xml:space="preserve">. </w:t>
      </w:r>
      <w:r w:rsidR="00A711A3" w:rsidRPr="00A711A3">
        <w:t xml:space="preserve">El doctor Eduardo Anitua, director científico de la compañía BTI </w:t>
      </w:r>
      <w:proofErr w:type="spellStart"/>
      <w:r w:rsidR="00A711A3" w:rsidRPr="00A711A3">
        <w:t>Biotechnology</w:t>
      </w:r>
      <w:proofErr w:type="spellEnd"/>
      <w:r w:rsidR="00A711A3" w:rsidRPr="00A711A3">
        <w:t xml:space="preserve"> </w:t>
      </w:r>
      <w:proofErr w:type="spellStart"/>
      <w:r w:rsidR="00A711A3" w:rsidRPr="00A711A3">
        <w:t>Institute</w:t>
      </w:r>
      <w:proofErr w:type="spellEnd"/>
      <w:r w:rsidR="00A711A3" w:rsidRPr="00A711A3">
        <w:t>, lidera la lista de los siete investigadores españoles del sector odontológico que han sido incluidos en la clasificación de los científicos más relevantes del mundo (</w:t>
      </w:r>
      <w:r w:rsidR="00A711A3" w:rsidRPr="00A711A3">
        <w:rPr>
          <w:i/>
        </w:rPr>
        <w:t xml:space="preserve">Ranking </w:t>
      </w:r>
      <w:proofErr w:type="spellStart"/>
      <w:r w:rsidR="00A711A3" w:rsidRPr="00A711A3">
        <w:rPr>
          <w:i/>
        </w:rPr>
        <w:t>of</w:t>
      </w:r>
      <w:proofErr w:type="spellEnd"/>
      <w:r w:rsidR="00A711A3" w:rsidRPr="00A711A3">
        <w:rPr>
          <w:i/>
        </w:rPr>
        <w:t xml:space="preserve"> </w:t>
      </w:r>
      <w:proofErr w:type="spellStart"/>
      <w:r w:rsidR="00A711A3" w:rsidRPr="00A711A3">
        <w:rPr>
          <w:i/>
        </w:rPr>
        <w:t>the</w:t>
      </w:r>
      <w:proofErr w:type="spellEnd"/>
      <w:r w:rsidR="00A711A3" w:rsidRPr="00A711A3">
        <w:rPr>
          <w:i/>
        </w:rPr>
        <w:t xml:space="preserve"> </w:t>
      </w:r>
      <w:proofErr w:type="spellStart"/>
      <w:r w:rsidR="00A711A3" w:rsidRPr="00A711A3">
        <w:rPr>
          <w:i/>
        </w:rPr>
        <w:t>World</w:t>
      </w:r>
      <w:proofErr w:type="spellEnd"/>
      <w:r w:rsidR="00A711A3" w:rsidRPr="00A711A3">
        <w:rPr>
          <w:i/>
        </w:rPr>
        <w:t xml:space="preserve"> </w:t>
      </w:r>
      <w:proofErr w:type="spellStart"/>
      <w:r w:rsidR="00A711A3" w:rsidRPr="00A711A3">
        <w:rPr>
          <w:i/>
        </w:rPr>
        <w:t>Scientists</w:t>
      </w:r>
      <w:proofErr w:type="spellEnd"/>
      <w:r w:rsidR="00A711A3" w:rsidRPr="00A711A3">
        <w:rPr>
          <w:i/>
        </w:rPr>
        <w:t xml:space="preserve">: </w:t>
      </w:r>
      <w:proofErr w:type="spellStart"/>
      <w:r w:rsidR="00A711A3" w:rsidRPr="00A711A3">
        <w:rPr>
          <w:i/>
        </w:rPr>
        <w:t>World´s</w:t>
      </w:r>
      <w:proofErr w:type="spellEnd"/>
      <w:r w:rsidR="00A711A3" w:rsidRPr="00A711A3">
        <w:rPr>
          <w:i/>
        </w:rPr>
        <w:t xml:space="preserve"> Top 2% </w:t>
      </w:r>
      <w:proofErr w:type="spellStart"/>
      <w:r w:rsidR="00A711A3" w:rsidRPr="00A711A3">
        <w:rPr>
          <w:i/>
        </w:rPr>
        <w:t>Scientists</w:t>
      </w:r>
      <w:proofErr w:type="spellEnd"/>
      <w:r w:rsidR="00A711A3" w:rsidRPr="00BE6E04">
        <w:t>),</w:t>
      </w:r>
      <w:r w:rsidR="00A711A3" w:rsidRPr="00BE6E04">
        <w:rPr>
          <w:b/>
        </w:rPr>
        <w:t xml:space="preserve"> uno de los rankings de investigadores más prestigiosos a nivel internacional</w:t>
      </w:r>
      <w:r w:rsidR="00A711A3" w:rsidRPr="00A711A3">
        <w:t xml:space="preserve">, que reconoce a estos científicos como los más influyentes </w:t>
      </w:r>
      <w:r w:rsidR="00F203D2" w:rsidRPr="00F203D2">
        <w:t>y citados del mundo, tal como ha dado a conocer este 9 de marzo el Consejo General de Dentistas a través de una nota de prensa</w:t>
      </w:r>
      <w:r w:rsidR="00DF2E8C">
        <w:t>.</w:t>
      </w:r>
    </w:p>
    <w:p w:rsidR="00DF2E8C" w:rsidRDefault="00DF2E8C" w:rsidP="004B742D">
      <w:pPr>
        <w:pStyle w:val="Listamedia2-nfasis41"/>
        <w:spacing w:after="0"/>
        <w:ind w:left="0"/>
        <w:jc w:val="both"/>
      </w:pPr>
    </w:p>
    <w:p w:rsidR="00B77288" w:rsidRPr="00A63F76" w:rsidRDefault="00A711A3" w:rsidP="00074CBC">
      <w:pPr>
        <w:pStyle w:val="Listamedia2-nfasis41"/>
        <w:spacing w:after="0"/>
        <w:ind w:left="0"/>
        <w:jc w:val="both"/>
      </w:pPr>
      <w:r w:rsidRPr="00A711A3">
        <w:t>La clasificación</w:t>
      </w:r>
      <w:r w:rsidRPr="00BE6E04">
        <w:rPr>
          <w:b/>
        </w:rPr>
        <w:t xml:space="preserve">, elaborada recientemente por la Universidad de Stanford y publicada en la revista </w:t>
      </w:r>
      <w:proofErr w:type="spellStart"/>
      <w:r w:rsidRPr="00BE6E04">
        <w:rPr>
          <w:b/>
        </w:rPr>
        <w:t>Plos</w:t>
      </w:r>
      <w:proofErr w:type="spellEnd"/>
      <w:r w:rsidRPr="00BE6E04">
        <w:rPr>
          <w:b/>
        </w:rPr>
        <w:t xml:space="preserve"> </w:t>
      </w:r>
      <w:proofErr w:type="spellStart"/>
      <w:r w:rsidRPr="00BE6E04">
        <w:rPr>
          <w:b/>
        </w:rPr>
        <w:t>Biology</w:t>
      </w:r>
      <w:proofErr w:type="spellEnd"/>
      <w:r w:rsidRPr="00A711A3">
        <w:t xml:space="preserve">, se basa en varios parámetros que incluyen el número de publicaciones indexadas en la base de datos </w:t>
      </w:r>
      <w:proofErr w:type="spellStart"/>
      <w:r w:rsidRPr="00A711A3">
        <w:t>Scopus</w:t>
      </w:r>
      <w:proofErr w:type="spellEnd"/>
      <w:r w:rsidRPr="00A711A3">
        <w:t xml:space="preserve"> de Elsevier, citas recibidas, índice h, coautoría y un indicador compuesto (Score). Como resultado, se ha creado una base de datos de más de 150.000 científicos de primer nivel en varios campos del conocimiento, que </w:t>
      </w:r>
      <w:r w:rsidRPr="00BE6E04">
        <w:rPr>
          <w:b/>
        </w:rPr>
        <w:t>representan el 2% de los investigadores más importantes sobre un total de casi 7 millones de científicos</w:t>
      </w:r>
      <w:r w:rsidRPr="00A711A3">
        <w:t xml:space="preserve"> en activo de todo el mundo</w:t>
      </w:r>
      <w:r w:rsidR="00A63F76" w:rsidRPr="00A711A3">
        <w:t>.</w:t>
      </w:r>
    </w:p>
    <w:p w:rsidR="00B77288" w:rsidRDefault="00B77288" w:rsidP="00074CBC">
      <w:pPr>
        <w:pStyle w:val="Listamedia2-nfasis41"/>
        <w:spacing w:after="0"/>
        <w:ind w:left="0"/>
        <w:jc w:val="both"/>
      </w:pPr>
    </w:p>
    <w:p w:rsidR="007B69B6" w:rsidRDefault="00A711A3" w:rsidP="007B69B6">
      <w:pPr>
        <w:pStyle w:val="Listamedia2-nfasis41"/>
        <w:spacing w:after="0"/>
        <w:ind w:left="0"/>
        <w:jc w:val="both"/>
      </w:pPr>
      <w:r w:rsidRPr="00A711A3">
        <w:t xml:space="preserve">Particularmente, en el área de Odontología identifica a 1.237 investigadores en el mundo, entre los que están incluidos los 7 españoles (Tabla 1). </w:t>
      </w:r>
      <w:r w:rsidR="00B47C8B">
        <w:t>E</w:t>
      </w:r>
      <w:bookmarkStart w:id="0" w:name="_GoBack"/>
      <w:bookmarkEnd w:id="0"/>
      <w:r w:rsidRPr="00A711A3">
        <w:t xml:space="preserve">l primero de esa lista es el Dr. Eduardo Anitua, que </w:t>
      </w:r>
      <w:r w:rsidRPr="00BE6E04">
        <w:rPr>
          <w:b/>
        </w:rPr>
        <w:t>además ocupa un lugar muy destacado en el ranking a nivel mundial, en la posición número 62</w:t>
      </w:r>
      <w:r w:rsidRPr="00A711A3">
        <w:t>. Le sigue el Dr. Mariano Sanz, catedrático de la Universidad Complutense de Madrid, posicionado en el ranking mundial en el puesto 218</w:t>
      </w:r>
      <w:r w:rsidR="005E4F52">
        <w:t>.</w:t>
      </w:r>
    </w:p>
    <w:p w:rsidR="00892221" w:rsidRDefault="00892221" w:rsidP="00074CBC">
      <w:pPr>
        <w:pStyle w:val="Listamedia2-nfasis41"/>
        <w:spacing w:after="0"/>
        <w:ind w:left="0"/>
        <w:jc w:val="both"/>
      </w:pPr>
    </w:p>
    <w:p w:rsidR="00AD44F0" w:rsidRDefault="00B2048C" w:rsidP="00B77288">
      <w:pPr>
        <w:pStyle w:val="Listamedia2-nfasis41"/>
        <w:spacing w:after="0"/>
        <w:ind w:left="0"/>
        <w:jc w:val="both"/>
      </w:pPr>
      <w:r>
        <w:t xml:space="preserve">Para el doctor Eduardo Anitua, fundador y director científico de BTI, </w:t>
      </w:r>
      <w:r w:rsidR="00B77288">
        <w:rPr>
          <w:i/>
        </w:rPr>
        <w:t>“</w:t>
      </w:r>
      <w:r w:rsidR="00A711A3" w:rsidRPr="00A711A3">
        <w:rPr>
          <w:i/>
        </w:rPr>
        <w:t>aparecer entre los investigadores más citados del mundo supone un importante reconocimiento internacional a la calidad científica de nuestros trabajos y nos anima a seguir avanzando en el camino que emprendimos hace ya más de 30 años</w:t>
      </w:r>
      <w:r w:rsidR="00B77288">
        <w:t>”</w:t>
      </w:r>
      <w:r>
        <w:t>.</w:t>
      </w:r>
    </w:p>
    <w:p w:rsidR="00C863E4" w:rsidRDefault="00C863E4" w:rsidP="00DF2E8C">
      <w:pPr>
        <w:pStyle w:val="Listamedia2-nfasis41"/>
        <w:spacing w:after="0"/>
        <w:ind w:left="0"/>
        <w:jc w:val="both"/>
      </w:pPr>
    </w:p>
    <w:p w:rsidR="004E28F1" w:rsidRDefault="004E28F1" w:rsidP="004E28F1">
      <w:pPr>
        <w:jc w:val="both"/>
        <w:rPr>
          <w:color w:val="000000"/>
        </w:rPr>
      </w:pPr>
    </w:p>
    <w:tbl>
      <w:tblPr>
        <w:tblStyle w:val="Tablaconcuadrcul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2835"/>
        <w:gridCol w:w="851"/>
        <w:gridCol w:w="1276"/>
        <w:gridCol w:w="1134"/>
      </w:tblGrid>
      <w:tr w:rsidR="004E28F1" w:rsidRPr="00F92754" w:rsidTr="004E28F1">
        <w:trPr>
          <w:trHeight w:val="549"/>
        </w:trPr>
        <w:tc>
          <w:tcPr>
            <w:tcW w:w="426" w:type="dxa"/>
          </w:tcPr>
          <w:p w:rsidR="004E28F1" w:rsidRPr="004E28F1" w:rsidRDefault="004E28F1" w:rsidP="00640DF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2409" w:type="dxa"/>
          </w:tcPr>
          <w:p w:rsidR="004E28F1" w:rsidRPr="004E28F1" w:rsidRDefault="004E28F1" w:rsidP="00640DF8">
            <w:pPr>
              <w:jc w:val="both"/>
              <w:rPr>
                <w:rFonts w:ascii="Calibri" w:eastAsia="MS Mincho" w:hAnsi="Calibri"/>
                <w:b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b/>
                <w:sz w:val="20"/>
                <w:szCs w:val="20"/>
              </w:rPr>
              <w:t>Investigador</w:t>
            </w:r>
          </w:p>
        </w:tc>
        <w:tc>
          <w:tcPr>
            <w:tcW w:w="2835" w:type="dxa"/>
          </w:tcPr>
          <w:p w:rsidR="004E28F1" w:rsidRPr="004E28F1" w:rsidRDefault="004E28F1" w:rsidP="00640DF8">
            <w:pPr>
              <w:jc w:val="both"/>
              <w:rPr>
                <w:rFonts w:ascii="Calibri" w:eastAsia="MS Mincho" w:hAnsi="Calibri"/>
                <w:b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b/>
                <w:sz w:val="20"/>
                <w:szCs w:val="20"/>
              </w:rPr>
              <w:t>Centro de Investigación</w:t>
            </w:r>
          </w:p>
        </w:tc>
        <w:tc>
          <w:tcPr>
            <w:tcW w:w="851" w:type="dxa"/>
          </w:tcPr>
          <w:p w:rsidR="004E28F1" w:rsidRPr="004E28F1" w:rsidRDefault="004E28F1" w:rsidP="00640DF8">
            <w:pPr>
              <w:jc w:val="both"/>
              <w:rPr>
                <w:rFonts w:ascii="Calibri" w:eastAsia="MS Mincho" w:hAnsi="Calibri"/>
                <w:b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b/>
                <w:sz w:val="20"/>
                <w:szCs w:val="20"/>
              </w:rPr>
              <w:t>#Pubs</w:t>
            </w:r>
          </w:p>
        </w:tc>
        <w:tc>
          <w:tcPr>
            <w:tcW w:w="1276" w:type="dxa"/>
          </w:tcPr>
          <w:p w:rsidR="004E28F1" w:rsidRPr="004E28F1" w:rsidRDefault="004E28F1" w:rsidP="00640DF8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b/>
                <w:sz w:val="20"/>
                <w:szCs w:val="20"/>
              </w:rPr>
              <w:t>Score</w:t>
            </w:r>
          </w:p>
        </w:tc>
        <w:tc>
          <w:tcPr>
            <w:tcW w:w="1134" w:type="dxa"/>
          </w:tcPr>
          <w:p w:rsidR="004E28F1" w:rsidRPr="004E28F1" w:rsidRDefault="004E28F1" w:rsidP="00640DF8">
            <w:pPr>
              <w:jc w:val="both"/>
              <w:rPr>
                <w:rFonts w:ascii="Calibri" w:eastAsia="MS Mincho" w:hAnsi="Calibri"/>
                <w:b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b/>
                <w:sz w:val="20"/>
                <w:szCs w:val="20"/>
              </w:rPr>
              <w:t>Puesto mundial</w:t>
            </w:r>
          </w:p>
        </w:tc>
      </w:tr>
      <w:tr w:rsidR="004E28F1" w:rsidRPr="00F92754" w:rsidTr="004E28F1">
        <w:tc>
          <w:tcPr>
            <w:tcW w:w="426" w:type="dxa"/>
          </w:tcPr>
          <w:p w:rsidR="004E28F1" w:rsidRPr="004E28F1" w:rsidRDefault="004E28F1" w:rsidP="00640DF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E28F1" w:rsidRPr="004E28F1" w:rsidRDefault="004E28F1" w:rsidP="00640DF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Eduardo Anitua</w:t>
            </w:r>
          </w:p>
        </w:tc>
        <w:tc>
          <w:tcPr>
            <w:tcW w:w="2835" w:type="dxa"/>
          </w:tcPr>
          <w:p w:rsidR="004E28F1" w:rsidRPr="004E28F1" w:rsidRDefault="004E28F1" w:rsidP="00640DF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 xml:space="preserve">BTI </w:t>
            </w:r>
            <w:proofErr w:type="spellStart"/>
            <w:r w:rsidRPr="004E28F1">
              <w:rPr>
                <w:rFonts w:ascii="Calibri" w:eastAsia="MS Mincho" w:hAnsi="Calibri"/>
                <w:sz w:val="20"/>
                <w:szCs w:val="20"/>
              </w:rPr>
              <w:t>Biotechnology</w:t>
            </w:r>
            <w:proofErr w:type="spellEnd"/>
            <w:r w:rsidRPr="004E28F1"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proofErr w:type="spellStart"/>
            <w:r w:rsidRPr="004E28F1">
              <w:rPr>
                <w:rFonts w:ascii="Calibri" w:eastAsia="MS Mincho" w:hAnsi="Calibri"/>
                <w:sz w:val="20"/>
                <w:szCs w:val="20"/>
              </w:rPr>
              <w:t>Institute</w:t>
            </w:r>
            <w:proofErr w:type="spellEnd"/>
          </w:p>
        </w:tc>
        <w:tc>
          <w:tcPr>
            <w:tcW w:w="851" w:type="dxa"/>
          </w:tcPr>
          <w:p w:rsidR="004E28F1" w:rsidRPr="004E28F1" w:rsidRDefault="004E28F1" w:rsidP="00640DF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4E28F1" w:rsidRPr="004E28F1" w:rsidRDefault="004E28F1" w:rsidP="00640DF8">
            <w:pPr>
              <w:jc w:val="right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4,0388397</w:t>
            </w:r>
          </w:p>
        </w:tc>
        <w:tc>
          <w:tcPr>
            <w:tcW w:w="1134" w:type="dxa"/>
          </w:tcPr>
          <w:p w:rsidR="004E28F1" w:rsidRPr="004E28F1" w:rsidRDefault="004E28F1" w:rsidP="00640DF8">
            <w:pPr>
              <w:jc w:val="right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62</w:t>
            </w:r>
          </w:p>
        </w:tc>
      </w:tr>
      <w:tr w:rsidR="004E28F1" w:rsidRPr="00F92754" w:rsidTr="004E28F1">
        <w:tc>
          <w:tcPr>
            <w:tcW w:w="426" w:type="dxa"/>
          </w:tcPr>
          <w:p w:rsidR="004E28F1" w:rsidRPr="004E28F1" w:rsidRDefault="004E28F1" w:rsidP="00640DF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4E28F1" w:rsidRPr="004E28F1" w:rsidRDefault="004E28F1" w:rsidP="00640DF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Mariano Sanz</w:t>
            </w:r>
          </w:p>
        </w:tc>
        <w:tc>
          <w:tcPr>
            <w:tcW w:w="2835" w:type="dxa"/>
          </w:tcPr>
          <w:p w:rsidR="004E28F1" w:rsidRPr="004E28F1" w:rsidRDefault="004E28F1" w:rsidP="00640DF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 xml:space="preserve">Universidad Complutense </w:t>
            </w:r>
          </w:p>
        </w:tc>
        <w:tc>
          <w:tcPr>
            <w:tcW w:w="851" w:type="dxa"/>
          </w:tcPr>
          <w:p w:rsidR="004E28F1" w:rsidRPr="004E28F1" w:rsidRDefault="004E28F1" w:rsidP="00640DF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306</w:t>
            </w:r>
          </w:p>
        </w:tc>
        <w:tc>
          <w:tcPr>
            <w:tcW w:w="1276" w:type="dxa"/>
          </w:tcPr>
          <w:p w:rsidR="004E28F1" w:rsidRPr="004E28F1" w:rsidRDefault="004E28F1" w:rsidP="00640DF8">
            <w:pPr>
              <w:jc w:val="right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3,7541694</w:t>
            </w:r>
          </w:p>
        </w:tc>
        <w:tc>
          <w:tcPr>
            <w:tcW w:w="1134" w:type="dxa"/>
          </w:tcPr>
          <w:p w:rsidR="004E28F1" w:rsidRPr="004E28F1" w:rsidRDefault="004E28F1" w:rsidP="00640DF8">
            <w:pPr>
              <w:jc w:val="right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218</w:t>
            </w:r>
          </w:p>
        </w:tc>
      </w:tr>
      <w:tr w:rsidR="004E28F1" w:rsidRPr="00F92754" w:rsidTr="004E28F1">
        <w:tc>
          <w:tcPr>
            <w:tcW w:w="426" w:type="dxa"/>
          </w:tcPr>
          <w:p w:rsidR="004E28F1" w:rsidRPr="004E28F1" w:rsidRDefault="004E28F1" w:rsidP="00640DF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4E28F1" w:rsidRPr="004E28F1" w:rsidRDefault="004E28F1" w:rsidP="00640DF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David Herrera</w:t>
            </w:r>
          </w:p>
        </w:tc>
        <w:tc>
          <w:tcPr>
            <w:tcW w:w="2835" w:type="dxa"/>
          </w:tcPr>
          <w:p w:rsidR="004E28F1" w:rsidRPr="004E28F1" w:rsidRDefault="004E28F1" w:rsidP="00640DF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Universidad Complutense</w:t>
            </w:r>
          </w:p>
        </w:tc>
        <w:tc>
          <w:tcPr>
            <w:tcW w:w="851" w:type="dxa"/>
            <w:vAlign w:val="bottom"/>
          </w:tcPr>
          <w:p w:rsidR="004E28F1" w:rsidRPr="004E28F1" w:rsidRDefault="004E28F1" w:rsidP="00640DF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137</w:t>
            </w:r>
          </w:p>
        </w:tc>
        <w:tc>
          <w:tcPr>
            <w:tcW w:w="1276" w:type="dxa"/>
            <w:vAlign w:val="bottom"/>
          </w:tcPr>
          <w:p w:rsidR="004E28F1" w:rsidRPr="004E28F1" w:rsidRDefault="004E28F1" w:rsidP="00640DF8">
            <w:pPr>
              <w:jc w:val="right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3,3328979</w:t>
            </w:r>
          </w:p>
        </w:tc>
        <w:tc>
          <w:tcPr>
            <w:tcW w:w="1134" w:type="dxa"/>
            <w:vAlign w:val="bottom"/>
          </w:tcPr>
          <w:p w:rsidR="004E28F1" w:rsidRPr="004E28F1" w:rsidRDefault="004E28F1" w:rsidP="00640DF8">
            <w:pPr>
              <w:jc w:val="right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809</w:t>
            </w:r>
          </w:p>
        </w:tc>
      </w:tr>
      <w:tr w:rsidR="004E28F1" w:rsidRPr="00F92754" w:rsidTr="004E28F1">
        <w:tc>
          <w:tcPr>
            <w:tcW w:w="426" w:type="dxa"/>
          </w:tcPr>
          <w:p w:rsidR="004E28F1" w:rsidRPr="004E28F1" w:rsidRDefault="004E28F1" w:rsidP="00640DF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4E28F1" w:rsidRPr="004E28F1" w:rsidRDefault="004E28F1" w:rsidP="00640DF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Cosme Gay-Escoda</w:t>
            </w:r>
          </w:p>
        </w:tc>
        <w:tc>
          <w:tcPr>
            <w:tcW w:w="2835" w:type="dxa"/>
          </w:tcPr>
          <w:p w:rsidR="004E28F1" w:rsidRPr="004E28F1" w:rsidRDefault="004E28F1" w:rsidP="00640DF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Universidad de Barcelona</w:t>
            </w:r>
          </w:p>
        </w:tc>
        <w:tc>
          <w:tcPr>
            <w:tcW w:w="851" w:type="dxa"/>
            <w:vAlign w:val="bottom"/>
          </w:tcPr>
          <w:p w:rsidR="004E28F1" w:rsidRPr="004E28F1" w:rsidRDefault="004E28F1" w:rsidP="00640DF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280</w:t>
            </w:r>
          </w:p>
        </w:tc>
        <w:tc>
          <w:tcPr>
            <w:tcW w:w="1276" w:type="dxa"/>
            <w:vAlign w:val="bottom"/>
          </w:tcPr>
          <w:p w:rsidR="004E28F1" w:rsidRPr="004E28F1" w:rsidRDefault="004E28F1" w:rsidP="00640DF8">
            <w:pPr>
              <w:jc w:val="right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3,2869952</w:t>
            </w:r>
          </w:p>
        </w:tc>
        <w:tc>
          <w:tcPr>
            <w:tcW w:w="1134" w:type="dxa"/>
            <w:vAlign w:val="bottom"/>
          </w:tcPr>
          <w:p w:rsidR="004E28F1" w:rsidRPr="004E28F1" w:rsidRDefault="004E28F1" w:rsidP="00640DF8">
            <w:pPr>
              <w:jc w:val="right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912</w:t>
            </w:r>
          </w:p>
        </w:tc>
      </w:tr>
      <w:tr w:rsidR="004E28F1" w:rsidRPr="00F92754" w:rsidTr="004E28F1">
        <w:tc>
          <w:tcPr>
            <w:tcW w:w="426" w:type="dxa"/>
          </w:tcPr>
          <w:p w:rsidR="004E28F1" w:rsidRPr="004E28F1" w:rsidRDefault="004E28F1" w:rsidP="00640DF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4E28F1" w:rsidRPr="004E28F1" w:rsidRDefault="004E28F1" w:rsidP="00640DF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Manuel Toledano</w:t>
            </w:r>
          </w:p>
        </w:tc>
        <w:tc>
          <w:tcPr>
            <w:tcW w:w="2835" w:type="dxa"/>
          </w:tcPr>
          <w:p w:rsidR="004E28F1" w:rsidRPr="004E28F1" w:rsidRDefault="004E28F1" w:rsidP="00640DF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Universidad de Granada</w:t>
            </w:r>
          </w:p>
        </w:tc>
        <w:tc>
          <w:tcPr>
            <w:tcW w:w="851" w:type="dxa"/>
            <w:vAlign w:val="bottom"/>
          </w:tcPr>
          <w:p w:rsidR="004E28F1" w:rsidRPr="004E28F1" w:rsidRDefault="004E28F1" w:rsidP="00640DF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228</w:t>
            </w:r>
          </w:p>
        </w:tc>
        <w:tc>
          <w:tcPr>
            <w:tcW w:w="1276" w:type="dxa"/>
            <w:vAlign w:val="bottom"/>
          </w:tcPr>
          <w:p w:rsidR="004E28F1" w:rsidRPr="004E28F1" w:rsidRDefault="004E28F1" w:rsidP="00640DF8">
            <w:pPr>
              <w:jc w:val="right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3,2866219</w:t>
            </w:r>
          </w:p>
        </w:tc>
        <w:tc>
          <w:tcPr>
            <w:tcW w:w="1134" w:type="dxa"/>
            <w:vAlign w:val="bottom"/>
          </w:tcPr>
          <w:p w:rsidR="004E28F1" w:rsidRPr="004E28F1" w:rsidRDefault="004E28F1" w:rsidP="00640DF8">
            <w:pPr>
              <w:jc w:val="right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913</w:t>
            </w:r>
          </w:p>
        </w:tc>
      </w:tr>
      <w:tr w:rsidR="004E28F1" w:rsidRPr="00F92754" w:rsidTr="004E28F1">
        <w:tc>
          <w:tcPr>
            <w:tcW w:w="426" w:type="dxa"/>
          </w:tcPr>
          <w:p w:rsidR="004E28F1" w:rsidRPr="004E28F1" w:rsidRDefault="004E28F1" w:rsidP="00640DF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4E28F1" w:rsidRPr="004E28F1" w:rsidRDefault="004E28F1" w:rsidP="00640DF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proofErr w:type="spellStart"/>
            <w:r w:rsidRPr="004E28F1">
              <w:rPr>
                <w:rFonts w:ascii="Calibri" w:eastAsia="MS Mincho" w:hAnsi="Calibri"/>
                <w:sz w:val="20"/>
                <w:szCs w:val="20"/>
              </w:rPr>
              <w:t>Jose</w:t>
            </w:r>
            <w:proofErr w:type="spellEnd"/>
            <w:r w:rsidRPr="004E28F1"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proofErr w:type="spellStart"/>
            <w:r w:rsidRPr="004E28F1">
              <w:rPr>
                <w:rFonts w:ascii="Calibri" w:eastAsia="MS Mincho" w:hAnsi="Calibri"/>
                <w:sz w:val="20"/>
                <w:szCs w:val="20"/>
              </w:rPr>
              <w:t>Bagán</w:t>
            </w:r>
            <w:proofErr w:type="spellEnd"/>
          </w:p>
        </w:tc>
        <w:tc>
          <w:tcPr>
            <w:tcW w:w="2835" w:type="dxa"/>
          </w:tcPr>
          <w:p w:rsidR="004E28F1" w:rsidRPr="004E28F1" w:rsidRDefault="004E28F1" w:rsidP="00640DF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Universidad de Valencia</w:t>
            </w:r>
          </w:p>
        </w:tc>
        <w:tc>
          <w:tcPr>
            <w:tcW w:w="851" w:type="dxa"/>
            <w:vAlign w:val="bottom"/>
          </w:tcPr>
          <w:p w:rsidR="004E28F1" w:rsidRPr="004E28F1" w:rsidRDefault="004E28F1" w:rsidP="00640DF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230</w:t>
            </w:r>
          </w:p>
        </w:tc>
        <w:tc>
          <w:tcPr>
            <w:tcW w:w="1276" w:type="dxa"/>
            <w:vAlign w:val="bottom"/>
          </w:tcPr>
          <w:p w:rsidR="004E28F1" w:rsidRPr="004E28F1" w:rsidRDefault="004E28F1" w:rsidP="00640DF8">
            <w:pPr>
              <w:jc w:val="right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3,2603692</w:t>
            </w:r>
          </w:p>
        </w:tc>
        <w:tc>
          <w:tcPr>
            <w:tcW w:w="1134" w:type="dxa"/>
            <w:vAlign w:val="bottom"/>
          </w:tcPr>
          <w:p w:rsidR="004E28F1" w:rsidRPr="004E28F1" w:rsidRDefault="004E28F1" w:rsidP="00640DF8">
            <w:pPr>
              <w:jc w:val="right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986</w:t>
            </w:r>
          </w:p>
        </w:tc>
      </w:tr>
      <w:tr w:rsidR="004E28F1" w:rsidRPr="00F92754" w:rsidTr="004E28F1">
        <w:tc>
          <w:tcPr>
            <w:tcW w:w="426" w:type="dxa"/>
          </w:tcPr>
          <w:p w:rsidR="004E28F1" w:rsidRPr="004E28F1" w:rsidRDefault="004E28F1" w:rsidP="00640DF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4E28F1" w:rsidRPr="004E28F1" w:rsidRDefault="004E28F1" w:rsidP="00640DF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Miguel Á. González-Moles</w:t>
            </w:r>
          </w:p>
        </w:tc>
        <w:tc>
          <w:tcPr>
            <w:tcW w:w="2835" w:type="dxa"/>
          </w:tcPr>
          <w:p w:rsidR="004E28F1" w:rsidRPr="004E28F1" w:rsidRDefault="004E28F1" w:rsidP="00640DF8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Universidad de Granada</w:t>
            </w:r>
          </w:p>
        </w:tc>
        <w:tc>
          <w:tcPr>
            <w:tcW w:w="851" w:type="dxa"/>
            <w:vAlign w:val="bottom"/>
          </w:tcPr>
          <w:p w:rsidR="004E28F1" w:rsidRPr="004E28F1" w:rsidRDefault="004E28F1" w:rsidP="00640DF8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108</w:t>
            </w:r>
          </w:p>
        </w:tc>
        <w:tc>
          <w:tcPr>
            <w:tcW w:w="1276" w:type="dxa"/>
            <w:vAlign w:val="bottom"/>
          </w:tcPr>
          <w:p w:rsidR="004E28F1" w:rsidRPr="004E28F1" w:rsidRDefault="004E28F1" w:rsidP="00640DF8">
            <w:pPr>
              <w:jc w:val="right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3,2391993</w:t>
            </w:r>
          </w:p>
        </w:tc>
        <w:tc>
          <w:tcPr>
            <w:tcW w:w="1134" w:type="dxa"/>
            <w:vAlign w:val="bottom"/>
          </w:tcPr>
          <w:p w:rsidR="004E28F1" w:rsidRPr="004E28F1" w:rsidRDefault="004E28F1" w:rsidP="00640DF8">
            <w:pPr>
              <w:jc w:val="right"/>
              <w:rPr>
                <w:rFonts w:ascii="Calibri" w:eastAsia="MS Mincho" w:hAnsi="Calibri"/>
                <w:sz w:val="20"/>
                <w:szCs w:val="20"/>
              </w:rPr>
            </w:pPr>
            <w:r w:rsidRPr="004E28F1">
              <w:rPr>
                <w:rFonts w:ascii="Calibri" w:eastAsia="MS Mincho" w:hAnsi="Calibri"/>
                <w:sz w:val="20"/>
                <w:szCs w:val="20"/>
              </w:rPr>
              <w:t>1053</w:t>
            </w:r>
          </w:p>
        </w:tc>
      </w:tr>
    </w:tbl>
    <w:p w:rsidR="004E28F1" w:rsidRPr="00E044D0" w:rsidRDefault="004E28F1" w:rsidP="004E28F1">
      <w:pPr>
        <w:jc w:val="center"/>
        <w:rPr>
          <w:color w:val="000000"/>
          <w:sz w:val="18"/>
          <w:szCs w:val="18"/>
        </w:rPr>
      </w:pPr>
      <w:r w:rsidRPr="00E044D0">
        <w:rPr>
          <w:b/>
          <w:color w:val="000000"/>
        </w:rPr>
        <w:t>Tabla 1. Lista de Científicos Top Españoles en Odontología</w:t>
      </w:r>
      <w:r w:rsidRPr="00E044D0">
        <w:rPr>
          <w:color w:val="000000"/>
        </w:rPr>
        <w:t xml:space="preserve"> </w:t>
      </w:r>
      <w:r w:rsidRPr="00E044D0">
        <w:rPr>
          <w:color w:val="000000"/>
          <w:sz w:val="18"/>
          <w:szCs w:val="18"/>
        </w:rPr>
        <w:t>(Fuente: Consejo General de Dentistas)</w:t>
      </w:r>
    </w:p>
    <w:p w:rsidR="00BE6E04" w:rsidRDefault="00BE6E04">
      <w:pPr>
        <w:spacing w:after="0" w:line="240" w:lineRule="auto"/>
      </w:pPr>
    </w:p>
    <w:p w:rsidR="0093145B" w:rsidRPr="00A71754" w:rsidRDefault="0093145B" w:rsidP="00681ED8">
      <w:pPr>
        <w:pStyle w:val="Listamedia2-nfasis41"/>
        <w:spacing w:after="0"/>
        <w:ind w:left="0" w:right="-228"/>
        <w:jc w:val="both"/>
        <w:rPr>
          <w:b/>
          <w:sz w:val="20"/>
          <w:szCs w:val="20"/>
        </w:rPr>
      </w:pPr>
      <w:r w:rsidRPr="00A71754">
        <w:rPr>
          <w:b/>
          <w:sz w:val="20"/>
          <w:szCs w:val="20"/>
        </w:rPr>
        <w:t>Sobre BTI:</w:t>
      </w:r>
    </w:p>
    <w:p w:rsidR="00AD44F0" w:rsidRPr="004E28F1" w:rsidRDefault="00AD44F0" w:rsidP="00681ED8">
      <w:pPr>
        <w:ind w:right="-228"/>
        <w:jc w:val="both"/>
        <w:rPr>
          <w:rFonts w:eastAsia="Calibri" w:cs="Calibri"/>
          <w:sz w:val="20"/>
          <w:szCs w:val="20"/>
        </w:rPr>
      </w:pPr>
      <w:r w:rsidRPr="004E28F1">
        <w:rPr>
          <w:rFonts w:eastAsia="Calibri" w:cs="Calibri"/>
          <w:sz w:val="20"/>
          <w:szCs w:val="20"/>
        </w:rPr>
        <w:t>BTI Biotechnology Institute es una empresa especializada en biomedicina y biotecnología cuya actividad principal se centra en dos áreas de trabajo: la medicina regenerativa y la implantología oral. Su sede central y sus instalaciones se encuentran en Vitoria (Álava).</w:t>
      </w:r>
    </w:p>
    <w:p w:rsidR="00D10F62" w:rsidRPr="004E28F1" w:rsidRDefault="00D10F62" w:rsidP="00681ED8">
      <w:pPr>
        <w:ind w:right="-228"/>
        <w:jc w:val="both"/>
        <w:rPr>
          <w:rFonts w:eastAsia="Calibri" w:cs="Calibri"/>
          <w:sz w:val="20"/>
          <w:szCs w:val="20"/>
        </w:rPr>
      </w:pPr>
      <w:r w:rsidRPr="004E28F1">
        <w:rPr>
          <w:rFonts w:eastAsia="Calibri" w:cs="Calibri"/>
          <w:sz w:val="20"/>
          <w:szCs w:val="20"/>
        </w:rPr>
        <w:t>El intenso trabajo de I+D desarrollado por la compañía ha dado sus frutos, convirtiendo a BTI en el proveedor del sistema de implantes dentales más versátil del mercado, y una de las empresas líderes en innovación en el panorama internacional.</w:t>
      </w:r>
      <w:r w:rsidR="004E28F1" w:rsidRPr="004E28F1">
        <w:rPr>
          <w:rFonts w:eastAsia="Calibri" w:cs="Calibri"/>
          <w:sz w:val="20"/>
          <w:szCs w:val="20"/>
        </w:rPr>
        <w:t xml:space="preserve"> </w:t>
      </w:r>
      <w:r w:rsidRPr="004E28F1">
        <w:rPr>
          <w:rFonts w:eastAsia="Calibri" w:cs="Calibri"/>
          <w:sz w:val="20"/>
          <w:szCs w:val="20"/>
        </w:rPr>
        <w:t>Además, BTI está considerada hoy en día como un referente científico mundial en medicina regenerativa al haber desarrollado la tecnología del Plasma Rico en Factores de Crecimiento (Endoret®) y sus diversas aplicaciones en múltiples áreas de la medicina, desde la medicina oral a la traumatología, la medicina deportiva, la dermatología, la reumatología, la medicina estética o, más recientemente, la oftalmología.</w:t>
      </w:r>
    </w:p>
    <w:p w:rsidR="00D10F62" w:rsidRPr="004E28F1" w:rsidRDefault="00D10F62" w:rsidP="00681ED8">
      <w:pPr>
        <w:spacing w:after="120"/>
        <w:ind w:right="-228"/>
        <w:jc w:val="both"/>
        <w:rPr>
          <w:rFonts w:eastAsia="Calibri" w:cs="Calibri"/>
          <w:sz w:val="20"/>
          <w:szCs w:val="20"/>
        </w:rPr>
      </w:pPr>
      <w:r w:rsidRPr="004E28F1">
        <w:rPr>
          <w:rFonts w:eastAsia="Calibri" w:cs="Calibri"/>
          <w:sz w:val="20"/>
          <w:szCs w:val="20"/>
        </w:rPr>
        <w:t>Desde su fundación, BTI reinvierte el 100% de los beneficios en I+D+i con el objetivo de generar conocimiento científico y la meta final de desarrollar herramientas terapéuticas que contribuyan a mejorar la calidad de vida de los pacientes.</w:t>
      </w:r>
    </w:p>
    <w:p w:rsidR="00BE6E04" w:rsidRPr="004E28F1" w:rsidRDefault="00BE6E04" w:rsidP="00681ED8">
      <w:pPr>
        <w:spacing w:after="120"/>
        <w:ind w:right="-228"/>
        <w:jc w:val="both"/>
        <w:rPr>
          <w:rFonts w:eastAsia="Calibri" w:cs="Calibri"/>
          <w:sz w:val="20"/>
          <w:szCs w:val="20"/>
        </w:rPr>
      </w:pPr>
      <w:r w:rsidRPr="004E28F1">
        <w:rPr>
          <w:rFonts w:eastAsia="Calibri" w:cs="Calibri"/>
          <w:sz w:val="20"/>
          <w:szCs w:val="20"/>
        </w:rPr>
        <w:t>BTI ha liderado la producción científica entre las empresas de biotecnología de España durante los últimos 5 años (fuente ASEBIO)</w:t>
      </w:r>
    </w:p>
    <w:p w:rsidR="0093145B" w:rsidRPr="00A71754" w:rsidRDefault="0093145B" w:rsidP="00681ED8">
      <w:pPr>
        <w:spacing w:after="120"/>
        <w:ind w:right="-227"/>
        <w:jc w:val="both"/>
        <w:rPr>
          <w:rFonts w:eastAsia="Calibri" w:cs="Calibri"/>
          <w:b/>
          <w:sz w:val="20"/>
          <w:szCs w:val="20"/>
        </w:rPr>
      </w:pPr>
      <w:r w:rsidRPr="00A71754">
        <w:rPr>
          <w:rFonts w:eastAsia="Calibri" w:cs="Calibri"/>
          <w:b/>
          <w:sz w:val="20"/>
          <w:szCs w:val="20"/>
        </w:rPr>
        <w:t>En cifras:</w:t>
      </w:r>
    </w:p>
    <w:p w:rsidR="0093145B" w:rsidRPr="00A71754" w:rsidRDefault="0093145B" w:rsidP="00681ED8">
      <w:pPr>
        <w:pStyle w:val="Prrafodelista"/>
        <w:numPr>
          <w:ilvl w:val="0"/>
          <w:numId w:val="6"/>
        </w:numPr>
        <w:spacing w:after="120" w:line="252" w:lineRule="auto"/>
        <w:ind w:left="357" w:right="-227" w:hanging="357"/>
        <w:jc w:val="both"/>
        <w:rPr>
          <w:rFonts w:eastAsia="Calibri" w:cs="Calibri"/>
          <w:sz w:val="20"/>
          <w:szCs w:val="20"/>
        </w:rPr>
      </w:pPr>
      <w:r w:rsidRPr="00A71754">
        <w:rPr>
          <w:rFonts w:eastAsia="Calibri" w:cs="Calibri"/>
          <w:sz w:val="20"/>
          <w:szCs w:val="20"/>
        </w:rPr>
        <w:t>Año de fundación del</w:t>
      </w:r>
      <w:r w:rsidR="00AD44F0">
        <w:rPr>
          <w:rFonts w:eastAsia="Calibri" w:cs="Calibri"/>
          <w:sz w:val="20"/>
          <w:szCs w:val="20"/>
        </w:rPr>
        <w:t xml:space="preserve"> grupo: 1989</w:t>
      </w:r>
    </w:p>
    <w:p w:rsidR="0093145B" w:rsidRPr="004E28F1" w:rsidRDefault="0093145B" w:rsidP="00681ED8">
      <w:pPr>
        <w:pStyle w:val="Prrafodelista"/>
        <w:numPr>
          <w:ilvl w:val="0"/>
          <w:numId w:val="6"/>
        </w:numPr>
        <w:spacing w:after="120" w:line="252" w:lineRule="auto"/>
        <w:ind w:left="357" w:right="-227" w:hanging="357"/>
        <w:jc w:val="both"/>
        <w:rPr>
          <w:rFonts w:eastAsia="Calibri" w:cs="Calibri"/>
          <w:sz w:val="20"/>
          <w:szCs w:val="20"/>
        </w:rPr>
      </w:pPr>
      <w:r w:rsidRPr="004E28F1">
        <w:rPr>
          <w:rFonts w:eastAsia="Calibri" w:cs="Calibri"/>
          <w:sz w:val="20"/>
          <w:szCs w:val="20"/>
        </w:rPr>
        <w:t>N</w:t>
      </w:r>
      <w:r w:rsidR="00AD44F0" w:rsidRPr="004E28F1">
        <w:rPr>
          <w:rFonts w:eastAsia="Calibri" w:cs="Calibri"/>
          <w:sz w:val="20"/>
          <w:szCs w:val="20"/>
        </w:rPr>
        <w:t>úmero de trabajadores: Más de 35</w:t>
      </w:r>
      <w:r w:rsidRPr="004E28F1">
        <w:rPr>
          <w:rFonts w:eastAsia="Calibri" w:cs="Calibri"/>
          <w:sz w:val="20"/>
          <w:szCs w:val="20"/>
        </w:rPr>
        <w:t>0</w:t>
      </w:r>
      <w:r w:rsidR="004E28F1" w:rsidRPr="004E28F1">
        <w:rPr>
          <w:rFonts w:eastAsia="Calibri" w:cs="Calibri"/>
          <w:sz w:val="20"/>
          <w:szCs w:val="20"/>
        </w:rPr>
        <w:t xml:space="preserve">. </w:t>
      </w:r>
      <w:r w:rsidRPr="004E28F1">
        <w:rPr>
          <w:rFonts w:eastAsia="Calibri" w:cs="Calibri"/>
          <w:sz w:val="20"/>
          <w:szCs w:val="20"/>
        </w:rPr>
        <w:t>Número de inv</w:t>
      </w:r>
      <w:r w:rsidR="00AD44F0" w:rsidRPr="004E28F1">
        <w:rPr>
          <w:rFonts w:eastAsia="Calibri" w:cs="Calibri"/>
          <w:sz w:val="20"/>
          <w:szCs w:val="20"/>
        </w:rPr>
        <w:t>estigadores: 55</w:t>
      </w:r>
      <w:r w:rsidRPr="004E28F1">
        <w:rPr>
          <w:rFonts w:eastAsia="Calibri" w:cs="Calibri"/>
          <w:sz w:val="20"/>
          <w:szCs w:val="20"/>
        </w:rPr>
        <w:t xml:space="preserve"> (biólogos, médicos, ingenieros...)</w:t>
      </w:r>
    </w:p>
    <w:p w:rsidR="0093145B" w:rsidRPr="004E28F1" w:rsidRDefault="00AD44F0" w:rsidP="00681ED8">
      <w:pPr>
        <w:pStyle w:val="Prrafodelista"/>
        <w:numPr>
          <w:ilvl w:val="0"/>
          <w:numId w:val="6"/>
        </w:numPr>
        <w:spacing w:after="120" w:line="252" w:lineRule="auto"/>
        <w:ind w:left="357" w:right="-227" w:hanging="357"/>
        <w:jc w:val="both"/>
        <w:rPr>
          <w:rFonts w:eastAsia="Calibri" w:cs="Calibri"/>
          <w:sz w:val="20"/>
          <w:szCs w:val="20"/>
        </w:rPr>
      </w:pPr>
      <w:r w:rsidRPr="004E28F1">
        <w:rPr>
          <w:rFonts w:eastAsia="Calibri" w:cs="Calibri"/>
          <w:sz w:val="20"/>
          <w:szCs w:val="20"/>
        </w:rPr>
        <w:t>Reinversión anual del 100% de los beneficios en I+D</w:t>
      </w:r>
      <w:r w:rsidR="004E28F1" w:rsidRPr="004E28F1">
        <w:rPr>
          <w:rFonts w:eastAsia="Calibri" w:cs="Calibri"/>
          <w:sz w:val="20"/>
          <w:szCs w:val="20"/>
        </w:rPr>
        <w:t xml:space="preserve">. </w:t>
      </w:r>
      <w:r w:rsidR="0093145B" w:rsidRPr="004E28F1">
        <w:rPr>
          <w:rFonts w:eastAsia="Calibri" w:cs="Calibri"/>
          <w:sz w:val="20"/>
          <w:szCs w:val="20"/>
        </w:rPr>
        <w:t xml:space="preserve">Inversión en I+D en los últimos </w:t>
      </w:r>
      <w:r w:rsidRPr="004E28F1">
        <w:rPr>
          <w:rFonts w:eastAsia="Calibri" w:cs="Calibri"/>
          <w:sz w:val="20"/>
          <w:szCs w:val="20"/>
        </w:rPr>
        <w:t>10 años: 55</w:t>
      </w:r>
      <w:r w:rsidR="0093145B" w:rsidRPr="004E28F1">
        <w:rPr>
          <w:rFonts w:eastAsia="Calibri" w:cs="Calibri"/>
          <w:sz w:val="20"/>
          <w:szCs w:val="20"/>
        </w:rPr>
        <w:t xml:space="preserve"> millones</w:t>
      </w:r>
      <w:r w:rsidR="004E28F1">
        <w:rPr>
          <w:rFonts w:eastAsia="Calibri" w:cs="Calibri"/>
          <w:sz w:val="20"/>
          <w:szCs w:val="20"/>
        </w:rPr>
        <w:t xml:space="preserve"> €</w:t>
      </w:r>
    </w:p>
    <w:p w:rsidR="0093145B" w:rsidRPr="00A71754" w:rsidRDefault="0093145B" w:rsidP="00681ED8">
      <w:pPr>
        <w:pStyle w:val="Prrafodelista"/>
        <w:numPr>
          <w:ilvl w:val="0"/>
          <w:numId w:val="6"/>
        </w:numPr>
        <w:spacing w:after="120" w:line="252" w:lineRule="auto"/>
        <w:ind w:left="357" w:right="-227" w:hanging="357"/>
        <w:jc w:val="both"/>
        <w:rPr>
          <w:rFonts w:eastAsia="Calibri" w:cs="Calibri"/>
          <w:sz w:val="20"/>
          <w:szCs w:val="20"/>
        </w:rPr>
      </w:pPr>
      <w:r w:rsidRPr="00A71754">
        <w:rPr>
          <w:rFonts w:eastAsia="Calibri" w:cs="Calibri"/>
          <w:sz w:val="20"/>
          <w:szCs w:val="20"/>
        </w:rPr>
        <w:t xml:space="preserve">Patentes: </w:t>
      </w:r>
      <w:r w:rsidR="002D788F">
        <w:rPr>
          <w:rFonts w:eastAsia="Calibri" w:cs="Calibri"/>
          <w:sz w:val="20"/>
          <w:szCs w:val="20"/>
        </w:rPr>
        <w:t>48</w:t>
      </w:r>
      <w:r w:rsidRPr="00A71754">
        <w:rPr>
          <w:rFonts w:eastAsia="Calibri" w:cs="Calibri"/>
          <w:sz w:val="20"/>
          <w:szCs w:val="20"/>
        </w:rPr>
        <w:t xml:space="preserve"> </w:t>
      </w:r>
      <w:r w:rsidR="00AD44F0">
        <w:rPr>
          <w:rFonts w:eastAsia="Calibri" w:cs="Calibri"/>
          <w:sz w:val="20"/>
          <w:szCs w:val="20"/>
        </w:rPr>
        <w:t xml:space="preserve">familias de </w:t>
      </w:r>
      <w:r w:rsidRPr="00A71754">
        <w:rPr>
          <w:rFonts w:eastAsia="Calibri" w:cs="Calibri"/>
          <w:sz w:val="20"/>
          <w:szCs w:val="20"/>
        </w:rPr>
        <w:t>patentes</w:t>
      </w:r>
      <w:r w:rsidR="00AD44F0">
        <w:rPr>
          <w:rFonts w:eastAsia="Calibri" w:cs="Calibri"/>
          <w:sz w:val="20"/>
          <w:szCs w:val="20"/>
        </w:rPr>
        <w:t xml:space="preserve"> internacionales </w:t>
      </w:r>
      <w:r w:rsidRPr="00A71754">
        <w:rPr>
          <w:rFonts w:eastAsia="Calibri" w:cs="Calibri"/>
          <w:sz w:val="20"/>
          <w:szCs w:val="20"/>
        </w:rPr>
        <w:t>y 193 marcas registradas en 50 países</w:t>
      </w:r>
    </w:p>
    <w:p w:rsidR="00681ED8" w:rsidRDefault="0093145B" w:rsidP="00536CDC">
      <w:pPr>
        <w:pStyle w:val="Prrafodelista"/>
        <w:numPr>
          <w:ilvl w:val="0"/>
          <w:numId w:val="6"/>
        </w:numPr>
        <w:spacing w:after="120" w:line="252" w:lineRule="auto"/>
        <w:ind w:left="357" w:right="-227" w:hanging="357"/>
        <w:jc w:val="both"/>
        <w:rPr>
          <w:rFonts w:eastAsia="Calibri" w:cs="Calibri"/>
          <w:sz w:val="20"/>
          <w:szCs w:val="20"/>
        </w:rPr>
      </w:pPr>
      <w:r w:rsidRPr="00681ED8">
        <w:rPr>
          <w:rFonts w:eastAsia="Calibri" w:cs="Calibri"/>
          <w:sz w:val="20"/>
          <w:szCs w:val="20"/>
        </w:rPr>
        <w:t xml:space="preserve">Filiales en: Estados Unidos, Canadá, México, Alemania, Reino Unido, </w:t>
      </w:r>
      <w:r w:rsidR="00B2048C" w:rsidRPr="00681ED8">
        <w:rPr>
          <w:rFonts w:eastAsia="Calibri" w:cs="Calibri"/>
          <w:sz w:val="20"/>
          <w:szCs w:val="20"/>
        </w:rPr>
        <w:t xml:space="preserve">Francia, </w:t>
      </w:r>
      <w:r w:rsidRPr="00681ED8">
        <w:rPr>
          <w:rFonts w:eastAsia="Calibri" w:cs="Calibri"/>
          <w:sz w:val="20"/>
          <w:szCs w:val="20"/>
        </w:rPr>
        <w:t>Italia y Portugal. Presencia en más de 30 países</w:t>
      </w:r>
    </w:p>
    <w:p w:rsidR="0093145B" w:rsidRPr="00681ED8" w:rsidRDefault="0093145B" w:rsidP="00E70AAF">
      <w:pPr>
        <w:pStyle w:val="Prrafodelista"/>
        <w:numPr>
          <w:ilvl w:val="0"/>
          <w:numId w:val="6"/>
        </w:numPr>
        <w:spacing w:after="120" w:line="252" w:lineRule="auto"/>
        <w:ind w:left="357" w:right="-227" w:hanging="357"/>
        <w:jc w:val="both"/>
        <w:rPr>
          <w:rFonts w:eastAsia="Calibri" w:cs="Calibri"/>
          <w:sz w:val="20"/>
          <w:szCs w:val="20"/>
        </w:rPr>
      </w:pPr>
      <w:r w:rsidRPr="00681ED8">
        <w:rPr>
          <w:rFonts w:eastAsia="Calibri" w:cs="Calibri"/>
          <w:sz w:val="20"/>
          <w:szCs w:val="20"/>
        </w:rPr>
        <w:t>Premio Príncipe Felipe a la Innovación Tecnológica 2007</w:t>
      </w:r>
    </w:p>
    <w:sectPr w:rsidR="0093145B" w:rsidRPr="00681ED8" w:rsidSect="00E37F96">
      <w:headerReference w:type="default" r:id="rId8"/>
      <w:footerReference w:type="default" r:id="rId9"/>
      <w:pgSz w:w="11906" w:h="16838" w:code="9"/>
      <w:pgMar w:top="1418" w:right="1531" w:bottom="1418" w:left="1531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AFD" w:rsidRDefault="00F34AFD" w:rsidP="00D07A03">
      <w:pPr>
        <w:spacing w:after="0" w:line="240" w:lineRule="auto"/>
      </w:pPr>
      <w:r>
        <w:separator/>
      </w:r>
    </w:p>
  </w:endnote>
  <w:endnote w:type="continuationSeparator" w:id="0">
    <w:p w:rsidR="00F34AFD" w:rsidRDefault="00F34AFD" w:rsidP="00D0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A7" w:rsidRDefault="00777FA7" w:rsidP="00777FA7">
    <w:pPr>
      <w:pStyle w:val="Listamedia2-nfasis41"/>
      <w:spacing w:before="120" w:after="0"/>
      <w:ind w:left="0"/>
      <w:jc w:val="center"/>
      <w:rPr>
        <w:b/>
        <w:sz w:val="20"/>
        <w:szCs w:val="20"/>
      </w:rPr>
    </w:pPr>
  </w:p>
  <w:p w:rsidR="00777FA7" w:rsidRPr="00F3044A" w:rsidRDefault="00777FA7" w:rsidP="00777FA7">
    <w:pPr>
      <w:pStyle w:val="Listamedia2-nfasis41"/>
      <w:spacing w:before="120" w:after="0"/>
      <w:ind w:left="0"/>
      <w:jc w:val="center"/>
      <w:rPr>
        <w:b/>
        <w:sz w:val="18"/>
        <w:szCs w:val="18"/>
      </w:rPr>
    </w:pPr>
    <w:r w:rsidRPr="00F3044A">
      <w:rPr>
        <w:b/>
        <w:sz w:val="18"/>
        <w:szCs w:val="18"/>
      </w:rPr>
      <w:t>Más información: Carlos Cummings – Departamento de Comunicación BTI</w:t>
    </w:r>
  </w:p>
  <w:p w:rsidR="00777FA7" w:rsidRPr="00F3044A" w:rsidRDefault="00F34AFD" w:rsidP="00777FA7">
    <w:pPr>
      <w:spacing w:after="0"/>
      <w:jc w:val="center"/>
      <w:rPr>
        <w:sz w:val="18"/>
        <w:szCs w:val="18"/>
        <w:lang w:val="en-GB"/>
      </w:rPr>
    </w:pPr>
    <w:r>
      <w:fldChar w:fldCharType="begin"/>
    </w:r>
    <w:r w:rsidRPr="00B47C8B">
      <w:rPr>
        <w:lang w:val="en-US"/>
      </w:rPr>
      <w:instrText xml:space="preserve"> HYPERLINK "mailto:carlos.comunicacion@bti-health.com" </w:instrText>
    </w:r>
    <w:r>
      <w:fldChar w:fldCharType="separate"/>
    </w:r>
    <w:r w:rsidR="00777FA7" w:rsidRPr="00F3044A">
      <w:rPr>
        <w:rStyle w:val="Hipervnculo"/>
        <w:rFonts w:cstheme="minorBidi"/>
        <w:sz w:val="18"/>
        <w:szCs w:val="18"/>
        <w:lang w:val="en-GB"/>
      </w:rPr>
      <w:t>carlos.comunicacion@bti-health.com</w:t>
    </w:r>
    <w:r>
      <w:rPr>
        <w:rStyle w:val="Hipervnculo"/>
        <w:rFonts w:cstheme="minorBidi"/>
        <w:sz w:val="18"/>
        <w:szCs w:val="18"/>
        <w:lang w:val="en-GB"/>
      </w:rPr>
      <w:fldChar w:fldCharType="end"/>
    </w:r>
    <w:r w:rsidR="00777FA7" w:rsidRPr="00F3044A">
      <w:rPr>
        <w:sz w:val="18"/>
        <w:szCs w:val="18"/>
        <w:lang w:val="en-GB"/>
      </w:rPr>
      <w:t xml:space="preserve">  // </w:t>
    </w:r>
    <w:proofErr w:type="spellStart"/>
    <w:r w:rsidR="00777FA7" w:rsidRPr="00F3044A">
      <w:rPr>
        <w:sz w:val="18"/>
        <w:szCs w:val="18"/>
        <w:lang w:val="en-GB"/>
      </w:rPr>
      <w:t>Mvl</w:t>
    </w:r>
    <w:proofErr w:type="spellEnd"/>
    <w:r w:rsidR="00777FA7" w:rsidRPr="00F3044A">
      <w:rPr>
        <w:sz w:val="18"/>
        <w:szCs w:val="18"/>
        <w:lang w:val="en-GB"/>
      </w:rPr>
      <w:t xml:space="preserve">. 625689478 - </w:t>
    </w:r>
    <w:proofErr w:type="spellStart"/>
    <w:r w:rsidR="00777FA7" w:rsidRPr="00F3044A">
      <w:rPr>
        <w:sz w:val="18"/>
        <w:szCs w:val="18"/>
        <w:lang w:val="en-GB"/>
      </w:rPr>
      <w:t>Tlf</w:t>
    </w:r>
    <w:proofErr w:type="spellEnd"/>
    <w:r w:rsidR="00777FA7" w:rsidRPr="00F3044A">
      <w:rPr>
        <w:sz w:val="18"/>
        <w:szCs w:val="18"/>
        <w:lang w:val="en-GB"/>
      </w:rPr>
      <w:t xml:space="preserve">. 945 160 652 </w:t>
    </w:r>
  </w:p>
  <w:p w:rsidR="00777FA7" w:rsidRPr="00F3044A" w:rsidRDefault="00777FA7" w:rsidP="00777FA7">
    <w:pPr>
      <w:spacing w:after="0"/>
      <w:jc w:val="center"/>
      <w:rPr>
        <w:sz w:val="18"/>
        <w:szCs w:val="18"/>
        <w:lang w:val="en-GB"/>
      </w:rPr>
    </w:pPr>
    <w:r w:rsidRPr="00F3044A">
      <w:rPr>
        <w:b/>
        <w:sz w:val="18"/>
        <w:szCs w:val="18"/>
        <w:lang w:val="en-GB"/>
      </w:rPr>
      <w:t>http://bti-biotechnologyinstitute.com/es/actualidad/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AFD" w:rsidRDefault="00F34AFD" w:rsidP="00D07A03">
      <w:pPr>
        <w:spacing w:after="0" w:line="240" w:lineRule="auto"/>
      </w:pPr>
      <w:r>
        <w:separator/>
      </w:r>
    </w:p>
  </w:footnote>
  <w:footnote w:type="continuationSeparator" w:id="0">
    <w:p w:rsidR="00F34AFD" w:rsidRDefault="00F34AFD" w:rsidP="00D07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DA6" w:rsidRDefault="00DD178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1971040</wp:posOffset>
          </wp:positionH>
          <wp:positionV relativeFrom="paragraph">
            <wp:posOffset>-345440</wp:posOffset>
          </wp:positionV>
          <wp:extent cx="1304925" cy="1114425"/>
          <wp:effectExtent l="0" t="0" r="9525" b="9525"/>
          <wp:wrapNone/>
          <wp:docPr id="2" name="Imagen 2" descr="C:\Users\carlos\Desktop\BTI 2014_logo_CMYK_201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los\Desktop\BTI 2014_logo_CMYK_2014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843" t="7692" r="14458" b="18182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6DA6" w:rsidRDefault="009B6DA6">
    <w:pPr>
      <w:pStyle w:val="Encabezado"/>
    </w:pPr>
  </w:p>
  <w:p w:rsidR="009B6DA6" w:rsidRDefault="009B6DA6">
    <w:pPr>
      <w:pStyle w:val="Encabezado"/>
    </w:pPr>
  </w:p>
  <w:p w:rsidR="00A96482" w:rsidRDefault="00A96482">
    <w:pPr>
      <w:pStyle w:val="Encabezado"/>
    </w:pPr>
  </w:p>
  <w:p w:rsidR="00BE6E04" w:rsidRDefault="00BE6E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E9213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0C4E12"/>
    <w:multiLevelType w:val="hybridMultilevel"/>
    <w:tmpl w:val="84DA41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3C47A0"/>
    <w:multiLevelType w:val="hybridMultilevel"/>
    <w:tmpl w:val="29CE1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463D5"/>
    <w:multiLevelType w:val="hybridMultilevel"/>
    <w:tmpl w:val="65A27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65952"/>
    <w:multiLevelType w:val="hybridMultilevel"/>
    <w:tmpl w:val="EDBE53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AA66F3"/>
    <w:multiLevelType w:val="hybridMultilevel"/>
    <w:tmpl w:val="77428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93"/>
    <w:rsid w:val="0001638F"/>
    <w:rsid w:val="00024CED"/>
    <w:rsid w:val="00030F70"/>
    <w:rsid w:val="000312AA"/>
    <w:rsid w:val="00043909"/>
    <w:rsid w:val="0004644B"/>
    <w:rsid w:val="00050C0B"/>
    <w:rsid w:val="0006168D"/>
    <w:rsid w:val="00074CBC"/>
    <w:rsid w:val="00081083"/>
    <w:rsid w:val="000B096F"/>
    <w:rsid w:val="000B55AE"/>
    <w:rsid w:val="000C2EBA"/>
    <w:rsid w:val="000C6077"/>
    <w:rsid w:val="000D6AF0"/>
    <w:rsid w:val="000F6690"/>
    <w:rsid w:val="00111E25"/>
    <w:rsid w:val="00115294"/>
    <w:rsid w:val="0012338D"/>
    <w:rsid w:val="00123973"/>
    <w:rsid w:val="00130D90"/>
    <w:rsid w:val="001321EC"/>
    <w:rsid w:val="00162C52"/>
    <w:rsid w:val="001966EC"/>
    <w:rsid w:val="001A04CB"/>
    <w:rsid w:val="001C1FC0"/>
    <w:rsid w:val="001D02E8"/>
    <w:rsid w:val="001D2559"/>
    <w:rsid w:val="001E7708"/>
    <w:rsid w:val="00210384"/>
    <w:rsid w:val="002120BA"/>
    <w:rsid w:val="002320B4"/>
    <w:rsid w:val="00253B3A"/>
    <w:rsid w:val="00281C71"/>
    <w:rsid w:val="002C3894"/>
    <w:rsid w:val="002D788F"/>
    <w:rsid w:val="002E6DEF"/>
    <w:rsid w:val="002F29B4"/>
    <w:rsid w:val="002F52ED"/>
    <w:rsid w:val="00315CAD"/>
    <w:rsid w:val="003360A8"/>
    <w:rsid w:val="003469CB"/>
    <w:rsid w:val="003558E7"/>
    <w:rsid w:val="00361193"/>
    <w:rsid w:val="00367CF5"/>
    <w:rsid w:val="0038034D"/>
    <w:rsid w:val="003B5BA6"/>
    <w:rsid w:val="003B5C3C"/>
    <w:rsid w:val="003C4B7C"/>
    <w:rsid w:val="003C4C70"/>
    <w:rsid w:val="003C5198"/>
    <w:rsid w:val="003C7973"/>
    <w:rsid w:val="003D5321"/>
    <w:rsid w:val="003E1812"/>
    <w:rsid w:val="003E31E6"/>
    <w:rsid w:val="004069D0"/>
    <w:rsid w:val="004207DD"/>
    <w:rsid w:val="004235A0"/>
    <w:rsid w:val="004253B6"/>
    <w:rsid w:val="00433278"/>
    <w:rsid w:val="0044114C"/>
    <w:rsid w:val="00442804"/>
    <w:rsid w:val="00444A9B"/>
    <w:rsid w:val="00456B5F"/>
    <w:rsid w:val="004654FD"/>
    <w:rsid w:val="0046595E"/>
    <w:rsid w:val="004B6D1A"/>
    <w:rsid w:val="004B742D"/>
    <w:rsid w:val="004C0107"/>
    <w:rsid w:val="004D5F43"/>
    <w:rsid w:val="004E28F1"/>
    <w:rsid w:val="004F3F70"/>
    <w:rsid w:val="00505345"/>
    <w:rsid w:val="00516C8D"/>
    <w:rsid w:val="00516F46"/>
    <w:rsid w:val="00531069"/>
    <w:rsid w:val="005447F0"/>
    <w:rsid w:val="00562BFD"/>
    <w:rsid w:val="00572DDC"/>
    <w:rsid w:val="005853A1"/>
    <w:rsid w:val="00586F9E"/>
    <w:rsid w:val="00586FA6"/>
    <w:rsid w:val="00595BAD"/>
    <w:rsid w:val="005976CF"/>
    <w:rsid w:val="005A26F8"/>
    <w:rsid w:val="005D214C"/>
    <w:rsid w:val="005E4F52"/>
    <w:rsid w:val="005F1FDB"/>
    <w:rsid w:val="006037BA"/>
    <w:rsid w:val="006061EE"/>
    <w:rsid w:val="00615669"/>
    <w:rsid w:val="00621F92"/>
    <w:rsid w:val="0065358C"/>
    <w:rsid w:val="00661905"/>
    <w:rsid w:val="0067514D"/>
    <w:rsid w:val="00681ED8"/>
    <w:rsid w:val="00690D24"/>
    <w:rsid w:val="006B5793"/>
    <w:rsid w:val="006D1FC4"/>
    <w:rsid w:val="006D307B"/>
    <w:rsid w:val="006D7158"/>
    <w:rsid w:val="006E0F80"/>
    <w:rsid w:val="006E1300"/>
    <w:rsid w:val="006E1CF5"/>
    <w:rsid w:val="006E23B0"/>
    <w:rsid w:val="006E3ADC"/>
    <w:rsid w:val="006F2A35"/>
    <w:rsid w:val="006F5749"/>
    <w:rsid w:val="00700264"/>
    <w:rsid w:val="00721F7C"/>
    <w:rsid w:val="00730474"/>
    <w:rsid w:val="007316E6"/>
    <w:rsid w:val="00755EC7"/>
    <w:rsid w:val="007560F4"/>
    <w:rsid w:val="0075784F"/>
    <w:rsid w:val="00762C41"/>
    <w:rsid w:val="00772B1E"/>
    <w:rsid w:val="00777FA7"/>
    <w:rsid w:val="007B0D3D"/>
    <w:rsid w:val="007B69B6"/>
    <w:rsid w:val="007D1E09"/>
    <w:rsid w:val="00801672"/>
    <w:rsid w:val="00803788"/>
    <w:rsid w:val="008051DC"/>
    <w:rsid w:val="00817845"/>
    <w:rsid w:val="00842003"/>
    <w:rsid w:val="00844740"/>
    <w:rsid w:val="00846882"/>
    <w:rsid w:val="0086120B"/>
    <w:rsid w:val="00866BCA"/>
    <w:rsid w:val="008811E2"/>
    <w:rsid w:val="00891210"/>
    <w:rsid w:val="00892221"/>
    <w:rsid w:val="008B7227"/>
    <w:rsid w:val="008C0965"/>
    <w:rsid w:val="008C0DEA"/>
    <w:rsid w:val="008C7F7D"/>
    <w:rsid w:val="008D56F9"/>
    <w:rsid w:val="008D66D8"/>
    <w:rsid w:val="008D7473"/>
    <w:rsid w:val="008D7AB1"/>
    <w:rsid w:val="008F1AF7"/>
    <w:rsid w:val="00901594"/>
    <w:rsid w:val="0091389E"/>
    <w:rsid w:val="0093145B"/>
    <w:rsid w:val="00935D79"/>
    <w:rsid w:val="009526D3"/>
    <w:rsid w:val="00966D58"/>
    <w:rsid w:val="00993F78"/>
    <w:rsid w:val="009B01CA"/>
    <w:rsid w:val="009B0554"/>
    <w:rsid w:val="009B6DA6"/>
    <w:rsid w:val="009C6A6B"/>
    <w:rsid w:val="009D57BE"/>
    <w:rsid w:val="009E2AEF"/>
    <w:rsid w:val="00A11002"/>
    <w:rsid w:val="00A143AF"/>
    <w:rsid w:val="00A23775"/>
    <w:rsid w:val="00A30ED8"/>
    <w:rsid w:val="00A529C1"/>
    <w:rsid w:val="00A63F76"/>
    <w:rsid w:val="00A711A3"/>
    <w:rsid w:val="00A71754"/>
    <w:rsid w:val="00A71CFC"/>
    <w:rsid w:val="00A91DD7"/>
    <w:rsid w:val="00A96482"/>
    <w:rsid w:val="00AA6F18"/>
    <w:rsid w:val="00AB28C8"/>
    <w:rsid w:val="00AC6208"/>
    <w:rsid w:val="00AD44F0"/>
    <w:rsid w:val="00AE2C32"/>
    <w:rsid w:val="00B0104B"/>
    <w:rsid w:val="00B2048C"/>
    <w:rsid w:val="00B41479"/>
    <w:rsid w:val="00B47C8B"/>
    <w:rsid w:val="00B56375"/>
    <w:rsid w:val="00B61066"/>
    <w:rsid w:val="00B70B3B"/>
    <w:rsid w:val="00B74D46"/>
    <w:rsid w:val="00B75A5E"/>
    <w:rsid w:val="00B77288"/>
    <w:rsid w:val="00B8174B"/>
    <w:rsid w:val="00B8234F"/>
    <w:rsid w:val="00B826D7"/>
    <w:rsid w:val="00B97723"/>
    <w:rsid w:val="00BA5057"/>
    <w:rsid w:val="00BC61C0"/>
    <w:rsid w:val="00BD1720"/>
    <w:rsid w:val="00BE4162"/>
    <w:rsid w:val="00BE6E04"/>
    <w:rsid w:val="00BF220F"/>
    <w:rsid w:val="00C13E51"/>
    <w:rsid w:val="00C14E4D"/>
    <w:rsid w:val="00C517FF"/>
    <w:rsid w:val="00C566E1"/>
    <w:rsid w:val="00C675EF"/>
    <w:rsid w:val="00C72842"/>
    <w:rsid w:val="00C8053B"/>
    <w:rsid w:val="00C863E4"/>
    <w:rsid w:val="00CA029C"/>
    <w:rsid w:val="00CD5A2E"/>
    <w:rsid w:val="00CE5835"/>
    <w:rsid w:val="00CF7B66"/>
    <w:rsid w:val="00D07A03"/>
    <w:rsid w:val="00D07A83"/>
    <w:rsid w:val="00D10F62"/>
    <w:rsid w:val="00D216C3"/>
    <w:rsid w:val="00D3428A"/>
    <w:rsid w:val="00D52D8D"/>
    <w:rsid w:val="00D70396"/>
    <w:rsid w:val="00D7080A"/>
    <w:rsid w:val="00D74C4E"/>
    <w:rsid w:val="00DB6334"/>
    <w:rsid w:val="00DC1E24"/>
    <w:rsid w:val="00DD178E"/>
    <w:rsid w:val="00DD23FC"/>
    <w:rsid w:val="00DD2AAF"/>
    <w:rsid w:val="00DE7D2E"/>
    <w:rsid w:val="00DF2E8C"/>
    <w:rsid w:val="00E16082"/>
    <w:rsid w:val="00E351BC"/>
    <w:rsid w:val="00E37F96"/>
    <w:rsid w:val="00E45D07"/>
    <w:rsid w:val="00E60BFC"/>
    <w:rsid w:val="00E65952"/>
    <w:rsid w:val="00E669C1"/>
    <w:rsid w:val="00E81366"/>
    <w:rsid w:val="00E90248"/>
    <w:rsid w:val="00EA3464"/>
    <w:rsid w:val="00EB3972"/>
    <w:rsid w:val="00EB60B1"/>
    <w:rsid w:val="00EC53FD"/>
    <w:rsid w:val="00EE401E"/>
    <w:rsid w:val="00EE4893"/>
    <w:rsid w:val="00F203D2"/>
    <w:rsid w:val="00F22E78"/>
    <w:rsid w:val="00F23BC1"/>
    <w:rsid w:val="00F3044A"/>
    <w:rsid w:val="00F34AFD"/>
    <w:rsid w:val="00F40394"/>
    <w:rsid w:val="00F45BE8"/>
    <w:rsid w:val="00F61475"/>
    <w:rsid w:val="00F6194C"/>
    <w:rsid w:val="00F82358"/>
    <w:rsid w:val="00F8576A"/>
    <w:rsid w:val="00F933AC"/>
    <w:rsid w:val="00FC0BED"/>
    <w:rsid w:val="00F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7E93B1"/>
  <w15:docId w15:val="{15DD75D8-E832-4841-A800-FA7F305F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12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4870A4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D5F90"/>
    <w:rPr>
      <w:color w:val="0000FF"/>
      <w:u w:val="single"/>
    </w:rPr>
  </w:style>
  <w:style w:type="paragraph" w:customStyle="1" w:styleId="Listamedia2-nfasis41">
    <w:name w:val="Lista media 2 - Énfasis 41"/>
    <w:basedOn w:val="Normal"/>
    <w:uiPriority w:val="34"/>
    <w:qFormat/>
    <w:rsid w:val="005A0BD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F140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140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140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400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1400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0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14001"/>
    <w:rPr>
      <w:rFonts w:ascii="Tahoma" w:hAnsi="Tahoma" w:cs="Tahoma"/>
      <w:sz w:val="16"/>
      <w:szCs w:val="16"/>
    </w:rPr>
  </w:style>
  <w:style w:type="character" w:styleId="Hipervnculovisitado">
    <w:name w:val="FollowedHyperlink"/>
    <w:uiPriority w:val="99"/>
    <w:semiHidden/>
    <w:unhideWhenUsed/>
    <w:rsid w:val="00F14001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04A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A2E"/>
  </w:style>
  <w:style w:type="paragraph" w:styleId="Piedepgina">
    <w:name w:val="footer"/>
    <w:basedOn w:val="Normal"/>
    <w:link w:val="PiedepginaCar"/>
    <w:uiPriority w:val="99"/>
    <w:unhideWhenUsed/>
    <w:rsid w:val="00404A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A2E"/>
  </w:style>
  <w:style w:type="character" w:customStyle="1" w:styleId="Ttulo1Car">
    <w:name w:val="Título 1 Car"/>
    <w:link w:val="Ttulo1"/>
    <w:uiPriority w:val="9"/>
    <w:rsid w:val="004870A4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Listavistosa-nfasis21">
    <w:name w:val="Lista vistosa - Énfasis 21"/>
    <w:uiPriority w:val="1"/>
    <w:qFormat/>
    <w:rsid w:val="00DB595A"/>
    <w:rPr>
      <w:rFonts w:eastAsia="Times New Roman"/>
      <w:sz w:val="22"/>
      <w:szCs w:val="2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2361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C23619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C2361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23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FD23BE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FD23BE"/>
    <w:rPr>
      <w:vertAlign w:val="superscript"/>
    </w:rPr>
  </w:style>
  <w:style w:type="character" w:styleId="Textoennegrita">
    <w:name w:val="Strong"/>
    <w:uiPriority w:val="22"/>
    <w:qFormat/>
    <w:rsid w:val="0006168D"/>
    <w:rPr>
      <w:b/>
      <w:bCs/>
    </w:rPr>
  </w:style>
  <w:style w:type="paragraph" w:styleId="Prrafodelista">
    <w:name w:val="List Paragraph"/>
    <w:basedOn w:val="Normal"/>
    <w:uiPriority w:val="34"/>
    <w:qFormat/>
    <w:rsid w:val="00DD2AAF"/>
    <w:pPr>
      <w:ind w:left="720"/>
    </w:pPr>
    <w:rPr>
      <w:rFonts w:eastAsiaTheme="minorEastAsia"/>
    </w:rPr>
  </w:style>
  <w:style w:type="table" w:styleId="Tablaconcuadrcula">
    <w:name w:val="Table Grid"/>
    <w:basedOn w:val="Tablanormal"/>
    <w:rsid w:val="004E28F1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86AD5-79BF-4FEB-85A6-D061B243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4703</CharactersWithSpaces>
  <SharedDoc>false</SharedDoc>
  <HLinks>
    <vt:vector size="18" baseType="variant">
      <vt:variant>
        <vt:i4>131134</vt:i4>
      </vt:variant>
      <vt:variant>
        <vt:i4>6</vt:i4>
      </vt:variant>
      <vt:variant>
        <vt:i4>0</vt:i4>
      </vt:variant>
      <vt:variant>
        <vt:i4>5</vt:i4>
      </vt:variant>
      <vt:variant>
        <vt:lpwstr>mailto:lucia@marcodecomunicacion.com</vt:lpwstr>
      </vt:variant>
      <vt:variant>
        <vt:lpwstr/>
      </vt:variant>
      <vt:variant>
        <vt:i4>7602263</vt:i4>
      </vt:variant>
      <vt:variant>
        <vt:i4>3</vt:i4>
      </vt:variant>
      <vt:variant>
        <vt:i4>0</vt:i4>
      </vt:variant>
      <vt:variant>
        <vt:i4>5</vt:i4>
      </vt:variant>
      <vt:variant>
        <vt:lpwstr>mailto:carlos@marcodecomunicacion.com</vt:lpwstr>
      </vt:variant>
      <vt:variant>
        <vt:lpwstr/>
      </vt:variant>
      <vt:variant>
        <vt:i4>2949158</vt:i4>
      </vt:variant>
      <vt:variant>
        <vt:i4>0</vt:i4>
      </vt:variant>
      <vt:variant>
        <vt:i4>0</vt:i4>
      </vt:variant>
      <vt:variant>
        <vt:i4>5</vt:i4>
      </vt:variant>
      <vt:variant>
        <vt:lpwstr>http://bti-biotechnologyinstitute.com/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 Cummings</cp:lastModifiedBy>
  <cp:revision>12</cp:revision>
  <cp:lastPrinted>2019-06-18T14:48:00Z</cp:lastPrinted>
  <dcterms:created xsi:type="dcterms:W3CDTF">2020-05-07T07:47:00Z</dcterms:created>
  <dcterms:modified xsi:type="dcterms:W3CDTF">2021-03-10T08:54:00Z</dcterms:modified>
</cp:coreProperties>
</file>